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620" w:lineRule="exact"/>
        <w:jc w:val="center"/>
        <w:rPr>
          <w:rFonts w:ascii="方正小标宋_GBK" w:hAnsi="方正小标宋_GBK" w:eastAsia="方正小标宋_GBK" w:cs="方正小标宋_GBK"/>
          <w:color w:val="000000" w:themeColor="text1"/>
          <w:kern w:val="44"/>
          <w:sz w:val="32"/>
          <w:szCs w:val="32"/>
        </w:rPr>
      </w:pPr>
      <w:r>
        <w:rPr>
          <w:rFonts w:hint="eastAsia" w:ascii="方正小标宋_GBK" w:hAnsi="方正小标宋_GBK" w:eastAsia="方正小标宋_GBK" w:cs="方正小标宋_GBK"/>
          <w:color w:val="000000" w:themeColor="text1"/>
          <w:kern w:val="44"/>
          <w:sz w:val="32"/>
          <w:szCs w:val="32"/>
        </w:rPr>
        <w:t>湖南工艺美术职业学院2023年博士引进相关待遇</w:t>
      </w:r>
    </w:p>
    <w:p>
      <w:pPr>
        <w:pStyle w:val="4"/>
        <w:widowControl/>
        <w:adjustRightInd w:val="0"/>
        <w:snapToGrid w:val="0"/>
        <w:spacing w:before="100" w:beforeAutospacing="0" w:after="100" w:afterAutospacing="0" w:line="600" w:lineRule="exact"/>
        <w:ind w:firstLine="560" w:firstLineChars="200"/>
        <w:jc w:val="both"/>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2023年被聘人员享受学校博士引进相关待遇，并按就高原则执行，博士引进实行“一事一议”。具体如下：</w:t>
      </w:r>
    </w:p>
    <w:tbl>
      <w:tblPr>
        <w:tblStyle w:val="5"/>
        <w:tblW w:w="13325" w:type="dxa"/>
        <w:jc w:val="center"/>
        <w:tblLayout w:type="autofit"/>
        <w:tblCellMar>
          <w:top w:w="0" w:type="dxa"/>
          <w:left w:w="0" w:type="dxa"/>
          <w:bottom w:w="0" w:type="dxa"/>
          <w:right w:w="0" w:type="dxa"/>
        </w:tblCellMar>
      </w:tblPr>
      <w:tblGrid>
        <w:gridCol w:w="1244"/>
        <w:gridCol w:w="1275"/>
        <w:gridCol w:w="1276"/>
        <w:gridCol w:w="1276"/>
        <w:gridCol w:w="1410"/>
        <w:gridCol w:w="1283"/>
        <w:gridCol w:w="5561"/>
      </w:tblGrid>
      <w:tr>
        <w:tblPrEx>
          <w:tblCellMar>
            <w:top w:w="0" w:type="dxa"/>
            <w:left w:w="0" w:type="dxa"/>
            <w:bottom w:w="0" w:type="dxa"/>
            <w:right w:w="0" w:type="dxa"/>
          </w:tblCellMar>
        </w:tblPrEx>
        <w:trPr>
          <w:trHeight w:val="754" w:hRule="atLeast"/>
          <w:jc w:val="center"/>
        </w:trPr>
        <w:tc>
          <w:tcPr>
            <w:tcW w:w="3795" w:type="dxa"/>
            <w:gridSpan w:val="3"/>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400" w:lineRule="atLeast"/>
              <w:jc w:val="center"/>
              <w:rPr>
                <w:rFonts w:asciiTheme="minorEastAsia" w:hAnsiTheme="minorEastAsia"/>
                <w:szCs w:val="21"/>
              </w:rPr>
            </w:pPr>
            <w:r>
              <w:rPr>
                <w:rFonts w:hint="eastAsia" w:asciiTheme="minorEastAsia" w:hAnsiTheme="minorEastAsia"/>
                <w:szCs w:val="21"/>
              </w:rPr>
              <w:t>安家费（万元）</w:t>
            </w:r>
          </w:p>
        </w:tc>
        <w:tc>
          <w:tcPr>
            <w:tcW w:w="3969"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Theme="minorEastAsia" w:hAnsiTheme="minorEastAsia"/>
                <w:szCs w:val="21"/>
              </w:rPr>
            </w:pPr>
            <w:r>
              <w:rPr>
                <w:rFonts w:hint="eastAsia" w:asciiTheme="minorEastAsia" w:hAnsiTheme="minorEastAsia"/>
                <w:szCs w:val="21"/>
              </w:rPr>
              <w:t>科研经费（万元）</w:t>
            </w:r>
          </w:p>
        </w:tc>
        <w:tc>
          <w:tcPr>
            <w:tcW w:w="5561"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Calibri" w:hAnsi="Calibri" w:eastAsia="宋体" w:cs="宋体"/>
                <w:kern w:val="0"/>
                <w:sz w:val="24"/>
              </w:rPr>
            </w:pPr>
            <w:r>
              <w:rPr>
                <w:rFonts w:hint="eastAsia" w:asciiTheme="minorEastAsia" w:hAnsiTheme="minorEastAsia"/>
                <w:szCs w:val="21"/>
              </w:rPr>
              <w:t>其它</w:t>
            </w:r>
          </w:p>
        </w:tc>
      </w:tr>
      <w:tr>
        <w:tblPrEx>
          <w:tblCellMar>
            <w:top w:w="0" w:type="dxa"/>
            <w:left w:w="0" w:type="dxa"/>
            <w:bottom w:w="0" w:type="dxa"/>
            <w:right w:w="0" w:type="dxa"/>
          </w:tblCellMar>
        </w:tblPrEx>
        <w:trPr>
          <w:trHeight w:val="687" w:hRule="atLeast"/>
          <w:jc w:val="center"/>
        </w:trPr>
        <w:tc>
          <w:tcPr>
            <w:tcW w:w="1244" w:type="dxa"/>
            <w:tcBorders>
              <w:top w:val="single" w:color="auto" w:sz="4" w:space="0"/>
              <w:left w:val="single" w:color="auto" w:sz="8" w:space="0"/>
              <w:bottom w:val="single" w:color="auto" w:sz="8"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设计类、</w:t>
            </w:r>
          </w:p>
          <w:p>
            <w:pPr>
              <w:jc w:val="center"/>
              <w:rPr>
                <w:rFonts w:asciiTheme="minorEastAsia" w:hAnsiTheme="minorEastAsia"/>
                <w:szCs w:val="21"/>
              </w:rPr>
            </w:pPr>
            <w:r>
              <w:rPr>
                <w:rFonts w:hint="eastAsia" w:asciiTheme="minorEastAsia" w:hAnsiTheme="minorEastAsia"/>
                <w:szCs w:val="21"/>
              </w:rPr>
              <w:t>美术类</w:t>
            </w:r>
          </w:p>
        </w:tc>
        <w:tc>
          <w:tcPr>
            <w:tcW w:w="1275" w:type="dxa"/>
            <w:tcBorders>
              <w:top w:val="single" w:color="auto" w:sz="4" w:space="0"/>
              <w:left w:val="single" w:color="auto" w:sz="4" w:space="0"/>
              <w:bottom w:val="single" w:color="auto" w:sz="8"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思政类</w:t>
            </w:r>
          </w:p>
        </w:tc>
        <w:tc>
          <w:tcPr>
            <w:tcW w:w="1276" w:type="dxa"/>
            <w:tcBorders>
              <w:top w:val="single" w:color="auto" w:sz="4" w:space="0"/>
              <w:left w:val="single" w:color="auto" w:sz="4" w:space="0"/>
              <w:bottom w:val="single" w:color="auto" w:sz="8" w:space="0"/>
              <w:right w:val="single" w:color="auto" w:sz="8" w:space="0"/>
            </w:tcBorders>
            <w:vAlign w:val="center"/>
          </w:tcPr>
          <w:p>
            <w:pPr>
              <w:jc w:val="center"/>
              <w:rPr>
                <w:rFonts w:asciiTheme="minorEastAsia" w:hAnsiTheme="minorEastAsia"/>
                <w:szCs w:val="21"/>
              </w:rPr>
            </w:pPr>
            <w:r>
              <w:rPr>
                <w:rFonts w:hint="eastAsia" w:asciiTheme="minorEastAsia" w:hAnsiTheme="minorEastAsia"/>
                <w:szCs w:val="21"/>
              </w:rPr>
              <w:t>其他类</w:t>
            </w: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Cs w:val="21"/>
              </w:rPr>
              <w:t>设计类、</w:t>
            </w:r>
          </w:p>
          <w:p>
            <w:pPr>
              <w:jc w:val="center"/>
              <w:rPr>
                <w:rFonts w:asciiTheme="minorEastAsia" w:hAnsiTheme="minorEastAsia"/>
                <w:szCs w:val="21"/>
              </w:rPr>
            </w:pPr>
            <w:r>
              <w:rPr>
                <w:rFonts w:hint="eastAsia" w:asciiTheme="minorEastAsia" w:hAnsiTheme="minorEastAsia"/>
                <w:szCs w:val="21"/>
              </w:rPr>
              <w:t>美术类</w:t>
            </w:r>
          </w:p>
        </w:tc>
        <w:tc>
          <w:tcPr>
            <w:tcW w:w="1410" w:type="dxa"/>
            <w:tcBorders>
              <w:top w:val="nil"/>
              <w:left w:val="nil"/>
              <w:bottom w:val="single" w:color="auto" w:sz="8" w:space="0"/>
              <w:right w:val="single" w:color="auto" w:sz="4" w:space="0"/>
            </w:tcBorders>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Cs w:val="21"/>
              </w:rPr>
              <w:t>思政类</w:t>
            </w:r>
          </w:p>
        </w:tc>
        <w:tc>
          <w:tcPr>
            <w:tcW w:w="1283" w:type="dxa"/>
            <w:tcBorders>
              <w:top w:val="nil"/>
              <w:left w:val="single" w:color="auto" w:sz="4" w:space="0"/>
              <w:bottom w:val="single" w:color="auto" w:sz="8" w:space="0"/>
              <w:right w:val="single" w:color="auto" w:sz="8" w:space="0"/>
            </w:tcBorders>
            <w:vAlign w:val="center"/>
          </w:tcPr>
          <w:p>
            <w:pPr>
              <w:jc w:val="center"/>
              <w:rPr>
                <w:rFonts w:asciiTheme="minorEastAsia" w:hAnsiTheme="minorEastAsia"/>
                <w:szCs w:val="21"/>
              </w:rPr>
            </w:pPr>
            <w:r>
              <w:rPr>
                <w:rFonts w:hint="eastAsia" w:asciiTheme="minorEastAsia" w:hAnsiTheme="minorEastAsia"/>
                <w:szCs w:val="21"/>
              </w:rPr>
              <w:t>其他类</w:t>
            </w:r>
          </w:p>
        </w:tc>
        <w:tc>
          <w:tcPr>
            <w:tcW w:w="5561" w:type="dxa"/>
            <w:vMerge w:val="continue"/>
            <w:tcBorders>
              <w:top w:val="single" w:color="auto" w:sz="8" w:space="0"/>
              <w:left w:val="nil"/>
              <w:bottom w:val="single" w:color="auto" w:sz="8" w:space="0"/>
              <w:right w:val="single" w:color="auto" w:sz="8" w:space="0"/>
            </w:tcBorders>
            <w:vAlign w:val="center"/>
          </w:tcPr>
          <w:p>
            <w:pPr>
              <w:widowControl/>
              <w:jc w:val="left"/>
              <w:rPr>
                <w:rFonts w:ascii="Calibri" w:hAnsi="Calibri" w:eastAsia="宋体" w:cs="宋体"/>
                <w:kern w:val="0"/>
                <w:sz w:val="24"/>
              </w:rPr>
            </w:pPr>
          </w:p>
        </w:tc>
      </w:tr>
      <w:tr>
        <w:tblPrEx>
          <w:tblCellMar>
            <w:top w:w="0" w:type="dxa"/>
            <w:left w:w="0" w:type="dxa"/>
            <w:bottom w:w="0" w:type="dxa"/>
            <w:right w:w="0" w:type="dxa"/>
          </w:tblCellMar>
        </w:tblPrEx>
        <w:trPr>
          <w:trHeight w:val="3400" w:hRule="atLeast"/>
          <w:jc w:val="center"/>
        </w:trPr>
        <w:tc>
          <w:tcPr>
            <w:tcW w:w="1244" w:type="dxa"/>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spacing w:line="400" w:lineRule="atLeast"/>
              <w:jc w:val="center"/>
              <w:rPr>
                <w:rFonts w:asciiTheme="minorEastAsia" w:hAnsiTheme="minorEastAsia"/>
                <w:szCs w:val="21"/>
              </w:rPr>
            </w:pPr>
            <w:r>
              <w:rPr>
                <w:rFonts w:hint="eastAsia" w:asciiTheme="minorEastAsia" w:hAnsiTheme="minorEastAsia"/>
                <w:szCs w:val="21"/>
                <w:lang w:val="en-US" w:eastAsia="zh-CN"/>
              </w:rPr>
              <w:t>60</w:t>
            </w:r>
            <w:r>
              <w:rPr>
                <w:rFonts w:hint="eastAsia" w:asciiTheme="minorEastAsia" w:hAnsiTheme="minorEastAsia"/>
                <w:szCs w:val="21"/>
              </w:rPr>
              <w:t>-1</w:t>
            </w:r>
            <w:r>
              <w:rPr>
                <w:rFonts w:hint="eastAsia" w:asciiTheme="minorEastAsia" w:hAnsiTheme="minorEastAsia"/>
                <w:szCs w:val="21"/>
                <w:lang w:val="en-US" w:eastAsia="zh-CN"/>
              </w:rPr>
              <w:t>2</w:t>
            </w:r>
            <w:r>
              <w:rPr>
                <w:rFonts w:hint="eastAsia" w:asciiTheme="minorEastAsia" w:hAnsiTheme="minorEastAsia"/>
                <w:szCs w:val="21"/>
              </w:rPr>
              <w:t>0</w:t>
            </w:r>
          </w:p>
        </w:tc>
        <w:tc>
          <w:tcPr>
            <w:tcW w:w="1275" w:type="dxa"/>
            <w:tcBorders>
              <w:top w:val="nil"/>
              <w:left w:val="single" w:color="auto" w:sz="4" w:space="0"/>
              <w:bottom w:val="single" w:color="auto" w:sz="8" w:space="0"/>
              <w:right w:val="single" w:color="auto" w:sz="4" w:space="0"/>
            </w:tcBorders>
            <w:vAlign w:val="center"/>
          </w:tcPr>
          <w:p>
            <w:pPr>
              <w:spacing w:line="400" w:lineRule="atLeast"/>
              <w:jc w:val="center"/>
              <w:rPr>
                <w:rFonts w:hint="default" w:asciiTheme="minorEastAsia" w:hAnsiTheme="minorEastAsia" w:eastAsiaTheme="minorEastAsia"/>
                <w:szCs w:val="21"/>
                <w:lang w:val="en-US" w:eastAsia="zh-CN"/>
              </w:rPr>
            </w:pPr>
            <w:r>
              <w:rPr>
                <w:rFonts w:hint="eastAsia" w:asciiTheme="minorEastAsia" w:hAnsiTheme="minorEastAsia"/>
                <w:szCs w:val="21"/>
              </w:rPr>
              <w:t>50-</w:t>
            </w:r>
            <w:r>
              <w:rPr>
                <w:rFonts w:hint="eastAsia" w:asciiTheme="minorEastAsia" w:hAnsiTheme="minorEastAsia"/>
                <w:szCs w:val="21"/>
                <w:lang w:val="en-US" w:eastAsia="zh-CN"/>
              </w:rPr>
              <w:t>90</w:t>
            </w:r>
          </w:p>
        </w:tc>
        <w:tc>
          <w:tcPr>
            <w:tcW w:w="1276" w:type="dxa"/>
            <w:tcBorders>
              <w:top w:val="nil"/>
              <w:left w:val="single" w:color="auto" w:sz="4" w:space="0"/>
              <w:bottom w:val="single" w:color="auto" w:sz="8" w:space="0"/>
              <w:right w:val="single" w:color="auto" w:sz="8" w:space="0"/>
            </w:tcBorders>
            <w:vAlign w:val="center"/>
          </w:tcPr>
          <w:p>
            <w:pPr>
              <w:spacing w:line="400" w:lineRule="atLeast"/>
              <w:jc w:val="center"/>
              <w:rPr>
                <w:rFonts w:hint="default" w:asciiTheme="minorEastAsia" w:hAnsiTheme="minorEastAsia" w:eastAsiaTheme="minorEastAsia"/>
                <w:szCs w:val="21"/>
                <w:lang w:val="en-US" w:eastAsia="zh-CN"/>
              </w:rPr>
            </w:pPr>
            <w:r>
              <w:rPr>
                <w:rFonts w:hint="eastAsia" w:asciiTheme="minorEastAsia" w:hAnsiTheme="minorEastAsia"/>
                <w:szCs w:val="21"/>
              </w:rPr>
              <w:t>40-</w:t>
            </w:r>
            <w:r>
              <w:rPr>
                <w:rFonts w:hint="eastAsia" w:asciiTheme="minorEastAsia" w:hAnsiTheme="minorEastAsia"/>
                <w:szCs w:val="21"/>
                <w:lang w:val="en-US" w:eastAsia="zh-CN"/>
              </w:rPr>
              <w:t>80</w:t>
            </w: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20</w:t>
            </w:r>
          </w:p>
        </w:tc>
        <w:tc>
          <w:tcPr>
            <w:tcW w:w="141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spacing w:line="400" w:lineRule="atLeas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1283" w:type="dxa"/>
            <w:tcBorders>
              <w:top w:val="nil"/>
              <w:left w:val="single" w:color="auto" w:sz="4" w:space="0"/>
              <w:bottom w:val="single" w:color="auto" w:sz="8" w:space="0"/>
              <w:right w:val="single" w:color="auto" w:sz="8" w:space="0"/>
            </w:tcBorders>
            <w:vAlign w:val="center"/>
          </w:tcPr>
          <w:p>
            <w:pPr>
              <w:widowControl/>
              <w:spacing w:line="400" w:lineRule="atLeas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556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uto"/>
              <w:ind w:firstLine="420" w:firstLineChars="200"/>
              <w:rPr>
                <w:rFonts w:asciiTheme="minorEastAsia" w:hAnsiTheme="minorEastAsia"/>
                <w:szCs w:val="21"/>
              </w:rPr>
            </w:pPr>
            <w:r>
              <w:rPr>
                <w:rFonts w:hint="eastAsia" w:asciiTheme="minorEastAsia" w:hAnsiTheme="minorEastAsia"/>
                <w:szCs w:val="21"/>
              </w:rPr>
              <w:t>1.配偶具有本科及以上学历或中级及以上职称，学校按照编外聘用形式给予安排工作岗位。其配偶符合学校岗位需要且符合上级部门有关人事调动政策和规定的办理调动手续。</w:t>
            </w:r>
          </w:p>
          <w:p>
            <w:pPr>
              <w:widowControl/>
              <w:spacing w:line="240" w:lineRule="auto"/>
              <w:ind w:firstLine="420" w:firstLineChars="200"/>
              <w:rPr>
                <w:rFonts w:hint="eastAsia" w:asciiTheme="minorEastAsia" w:hAnsiTheme="minorEastAsia"/>
                <w:szCs w:val="21"/>
              </w:rPr>
            </w:pPr>
            <w:r>
              <w:rPr>
                <w:rFonts w:hint="eastAsia" w:asciiTheme="minorEastAsia" w:hAnsiTheme="minorEastAsia"/>
                <w:szCs w:val="21"/>
              </w:rPr>
              <w:t>2.未取得副教授职称的，五年内按副教授（七级）标准发放绩效工资。</w:t>
            </w:r>
          </w:p>
          <w:p>
            <w:pPr>
              <w:pStyle w:val="4"/>
              <w:spacing w:beforeAutospacing="0" w:afterAutospacing="0" w:line="240" w:lineRule="auto"/>
              <w:ind w:firstLine="420"/>
              <w:rPr>
                <w:rFonts w:hint="eastAsia" w:asciiTheme="minorEastAsia" w:hAnsiTheme="minorEastAsia" w:cstheme="minorBidi"/>
                <w:kern w:val="2"/>
                <w:sz w:val="21"/>
                <w:szCs w:val="21"/>
              </w:rPr>
            </w:pPr>
            <w:r>
              <w:rPr>
                <w:rFonts w:hint="eastAsia" w:asciiTheme="minorEastAsia" w:hAnsiTheme="minorEastAsia" w:cstheme="minorBidi"/>
                <w:kern w:val="2"/>
                <w:sz w:val="21"/>
                <w:szCs w:val="21"/>
              </w:rPr>
              <w:t>3.根据学校和益阳市相关文件，学校协调安排随迁子女就近入学。</w:t>
            </w:r>
          </w:p>
          <w:p>
            <w:pPr>
              <w:pStyle w:val="4"/>
              <w:spacing w:beforeAutospacing="0" w:afterAutospacing="0" w:line="240" w:lineRule="auto"/>
              <w:ind w:firstLine="420"/>
              <w:rPr>
                <w:rFonts w:hint="eastAsia" w:asciiTheme="minorEastAsia" w:hAnsiTheme="minorEastAsia" w:cstheme="minorBidi"/>
                <w:kern w:val="2"/>
                <w:sz w:val="21"/>
                <w:szCs w:val="21"/>
                <w:lang w:val="en-US" w:eastAsia="zh-CN"/>
              </w:rPr>
            </w:pPr>
            <w:r>
              <w:rPr>
                <w:rFonts w:hint="eastAsia" w:asciiTheme="minorEastAsia" w:hAnsiTheme="minorEastAsia" w:cstheme="minorBidi"/>
                <w:kern w:val="2"/>
                <w:sz w:val="21"/>
                <w:szCs w:val="21"/>
                <w:lang w:val="en-US" w:eastAsia="zh-CN"/>
              </w:rPr>
              <w:t>4.引进3年内，学校提供过渡房或每年2万元租房补贴。</w:t>
            </w:r>
          </w:p>
          <w:p>
            <w:pPr>
              <w:pStyle w:val="4"/>
              <w:spacing w:beforeAutospacing="0" w:afterAutospacing="0" w:line="240" w:lineRule="auto"/>
              <w:ind w:firstLine="420"/>
              <w:rPr>
                <w:rFonts w:hint="default" w:asciiTheme="minorEastAsia" w:hAnsiTheme="minorEastAsia" w:cstheme="minorBidi"/>
                <w:kern w:val="2"/>
                <w:sz w:val="21"/>
                <w:szCs w:val="21"/>
                <w:lang w:val="en-US" w:eastAsia="zh-CN"/>
              </w:rPr>
            </w:pPr>
            <w:r>
              <w:rPr>
                <w:rFonts w:hint="eastAsia" w:asciiTheme="minorEastAsia" w:hAnsiTheme="minorEastAsia" w:cstheme="minorBidi"/>
                <w:kern w:val="2"/>
                <w:sz w:val="21"/>
                <w:szCs w:val="21"/>
                <w:lang w:val="en-US" w:eastAsia="zh-CN"/>
              </w:rPr>
              <w:t>5.引进人员可享受学校提供的</w:t>
            </w:r>
            <w:bookmarkStart w:id="0" w:name="_GoBack"/>
            <w:bookmarkEnd w:id="0"/>
            <w:r>
              <w:rPr>
                <w:rFonts w:hint="eastAsia" w:asciiTheme="minorEastAsia" w:hAnsiTheme="minorEastAsia" w:cstheme="minorBidi"/>
                <w:kern w:val="2"/>
                <w:sz w:val="21"/>
                <w:szCs w:val="21"/>
                <w:lang w:val="en-US" w:eastAsia="zh-CN"/>
              </w:rPr>
              <w:t>益阳校区或长沙基地的博士工作室。</w:t>
            </w:r>
          </w:p>
        </w:tc>
      </w:tr>
    </w:tbl>
    <w:p>
      <w:pPr>
        <w:widowControl/>
        <w:shd w:val="clear" w:color="auto" w:fill="FFFFFF"/>
        <w:spacing w:line="600" w:lineRule="atLeast"/>
        <w:ind w:firstLine="640"/>
      </w:pPr>
    </w:p>
    <w:p>
      <w:pPr>
        <w:widowControl/>
        <w:shd w:val="clear" w:color="auto" w:fill="FFFFFF"/>
        <w:spacing w:line="600" w:lineRule="atLeast"/>
        <w:ind w:firstLine="64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U1YTcwMTAwZTVkNDNmMzZlOWM5NWYwMDI1NzY1YjQifQ=="/>
  </w:docVars>
  <w:rsids>
    <w:rsidRoot w:val="69A417A6"/>
    <w:rsid w:val="00030D82"/>
    <w:rsid w:val="000A2BF6"/>
    <w:rsid w:val="00151573"/>
    <w:rsid w:val="001F50E2"/>
    <w:rsid w:val="00245F33"/>
    <w:rsid w:val="0026596F"/>
    <w:rsid w:val="002C057F"/>
    <w:rsid w:val="002C50FF"/>
    <w:rsid w:val="002E2EDE"/>
    <w:rsid w:val="002F1A11"/>
    <w:rsid w:val="002F4261"/>
    <w:rsid w:val="0033334F"/>
    <w:rsid w:val="00336281"/>
    <w:rsid w:val="00336BB2"/>
    <w:rsid w:val="003728B4"/>
    <w:rsid w:val="00414D1B"/>
    <w:rsid w:val="004231E2"/>
    <w:rsid w:val="00471EF7"/>
    <w:rsid w:val="00487BD0"/>
    <w:rsid w:val="004D0B11"/>
    <w:rsid w:val="004D227D"/>
    <w:rsid w:val="0050264B"/>
    <w:rsid w:val="005B4216"/>
    <w:rsid w:val="005C2AD8"/>
    <w:rsid w:val="00664F8A"/>
    <w:rsid w:val="006A08A9"/>
    <w:rsid w:val="006E2E86"/>
    <w:rsid w:val="00740084"/>
    <w:rsid w:val="00740AD6"/>
    <w:rsid w:val="008201A1"/>
    <w:rsid w:val="00834A7A"/>
    <w:rsid w:val="00850786"/>
    <w:rsid w:val="008902B9"/>
    <w:rsid w:val="008B33B6"/>
    <w:rsid w:val="009A5039"/>
    <w:rsid w:val="009B5449"/>
    <w:rsid w:val="00A14075"/>
    <w:rsid w:val="00A807F9"/>
    <w:rsid w:val="00B02280"/>
    <w:rsid w:val="00B16781"/>
    <w:rsid w:val="00B65305"/>
    <w:rsid w:val="00B71462"/>
    <w:rsid w:val="00C157FC"/>
    <w:rsid w:val="00C23131"/>
    <w:rsid w:val="00CA12EC"/>
    <w:rsid w:val="00D40F38"/>
    <w:rsid w:val="00D97194"/>
    <w:rsid w:val="00DC2BE5"/>
    <w:rsid w:val="00E10218"/>
    <w:rsid w:val="00E43E97"/>
    <w:rsid w:val="00E8015F"/>
    <w:rsid w:val="00EE1D22"/>
    <w:rsid w:val="1AE322D0"/>
    <w:rsid w:val="54E90BD9"/>
    <w:rsid w:val="69A41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252</Words>
  <Characters>277</Characters>
  <Lines>2</Lines>
  <Paragraphs>1</Paragraphs>
  <TotalTime>81</TotalTime>
  <ScaleCrop>false</ScaleCrop>
  <LinksUpToDate>false</LinksUpToDate>
  <CharactersWithSpaces>277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2021-09-30T01:10:00Z</dcterms:created>
  <dc:creator>郭文清</dc:creator>
  <cp:lastModifiedBy>Tout</cp:lastModifiedBy>
  <dcterms:modified xsi:type="dcterms:W3CDTF">2023-04-14T02:15:32Z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B357BAB5889140FDA9ACEF65BFE1BDC0</vt:lpwstr>
  </property>
</Properties>
</file>